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EFB" w:rsidRDefault="006768C5" w:rsidP="009522C8">
      <w:pPr>
        <w:pStyle w:val="Titel"/>
      </w:pPr>
      <w:r>
        <w:t>Anforderungen Ing.-Büro Kroll</w:t>
      </w:r>
      <w:r w:rsidR="006A4041">
        <w:t xml:space="preserve"> </w:t>
      </w:r>
    </w:p>
    <w:tbl>
      <w:tblPr>
        <w:tblStyle w:val="Tabellenraster"/>
        <w:tblW w:w="14312" w:type="dxa"/>
        <w:tblLayout w:type="fixed"/>
        <w:tblLook w:val="04A0" w:firstRow="1" w:lastRow="0" w:firstColumn="1" w:lastColumn="0" w:noHBand="0" w:noVBand="1"/>
      </w:tblPr>
      <w:tblGrid>
        <w:gridCol w:w="1531"/>
        <w:gridCol w:w="1276"/>
        <w:gridCol w:w="3355"/>
        <w:gridCol w:w="3872"/>
        <w:gridCol w:w="4278"/>
      </w:tblGrid>
      <w:tr w:rsidR="006768C5" w:rsidRPr="006768C5" w:rsidTr="00B052BA">
        <w:trPr>
          <w:trHeight w:val="20"/>
          <w:tblHeader/>
        </w:trPr>
        <w:tc>
          <w:tcPr>
            <w:tcW w:w="1531" w:type="dxa"/>
            <w:noWrap/>
          </w:tcPr>
          <w:p w:rsidR="006768C5" w:rsidRPr="006768C5" w:rsidRDefault="006768C5" w:rsidP="006768C5">
            <w:pPr>
              <w:rPr>
                <w:b/>
                <w:sz w:val="18"/>
                <w:szCs w:val="18"/>
              </w:rPr>
            </w:pPr>
            <w:r w:rsidRPr="006768C5">
              <w:rPr>
                <w:b/>
                <w:sz w:val="18"/>
                <w:szCs w:val="18"/>
              </w:rPr>
              <w:t>Anforderung Nr.</w:t>
            </w:r>
          </w:p>
        </w:tc>
        <w:tc>
          <w:tcPr>
            <w:tcW w:w="1276" w:type="dxa"/>
            <w:noWrap/>
          </w:tcPr>
          <w:p w:rsidR="006768C5" w:rsidRPr="006768C5" w:rsidRDefault="006768C5" w:rsidP="006768C5">
            <w:pPr>
              <w:rPr>
                <w:b/>
                <w:sz w:val="18"/>
                <w:szCs w:val="18"/>
              </w:rPr>
            </w:pPr>
            <w:r w:rsidRPr="006768C5">
              <w:rPr>
                <w:b/>
                <w:sz w:val="18"/>
                <w:szCs w:val="18"/>
              </w:rPr>
              <w:t>Meldedatum</w:t>
            </w:r>
          </w:p>
        </w:tc>
        <w:tc>
          <w:tcPr>
            <w:tcW w:w="3355" w:type="dxa"/>
            <w:noWrap/>
          </w:tcPr>
          <w:p w:rsidR="006768C5" w:rsidRPr="006768C5" w:rsidRDefault="006768C5">
            <w:pPr>
              <w:rPr>
                <w:b/>
                <w:sz w:val="18"/>
                <w:szCs w:val="18"/>
              </w:rPr>
            </w:pPr>
            <w:r w:rsidRPr="006768C5">
              <w:rPr>
                <w:b/>
                <w:sz w:val="18"/>
                <w:szCs w:val="18"/>
              </w:rPr>
              <w:t>betroffene Klasse</w:t>
            </w:r>
          </w:p>
        </w:tc>
        <w:tc>
          <w:tcPr>
            <w:tcW w:w="3872" w:type="dxa"/>
          </w:tcPr>
          <w:p w:rsidR="006768C5" w:rsidRPr="006768C5" w:rsidRDefault="006768C5">
            <w:pPr>
              <w:rPr>
                <w:b/>
                <w:sz w:val="18"/>
                <w:szCs w:val="18"/>
              </w:rPr>
            </w:pPr>
            <w:r w:rsidRPr="006768C5">
              <w:rPr>
                <w:b/>
                <w:sz w:val="18"/>
                <w:szCs w:val="18"/>
              </w:rPr>
              <w:t>Anforderung</w:t>
            </w:r>
          </w:p>
        </w:tc>
        <w:tc>
          <w:tcPr>
            <w:tcW w:w="4278" w:type="dxa"/>
          </w:tcPr>
          <w:p w:rsidR="006768C5" w:rsidRPr="006768C5" w:rsidRDefault="006768C5" w:rsidP="00F90FFB">
            <w:pPr>
              <w:rPr>
                <w:b/>
                <w:sz w:val="18"/>
                <w:szCs w:val="18"/>
              </w:rPr>
            </w:pPr>
            <w:r w:rsidRPr="006768C5">
              <w:rPr>
                <w:b/>
                <w:sz w:val="18"/>
                <w:szCs w:val="18"/>
              </w:rPr>
              <w:t>Stellungnahme</w:t>
            </w:r>
          </w:p>
        </w:tc>
      </w:tr>
      <w:tr w:rsidR="006768C5" w:rsidRPr="006768C5" w:rsidTr="00F90FFB">
        <w:trPr>
          <w:trHeight w:val="1152"/>
        </w:trPr>
        <w:tc>
          <w:tcPr>
            <w:tcW w:w="1531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361</w:t>
            </w:r>
          </w:p>
        </w:tc>
        <w:tc>
          <w:tcPr>
            <w:tcW w:w="1276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16.06.2014</w:t>
            </w:r>
          </w:p>
        </w:tc>
        <w:tc>
          <w:tcPr>
            <w:tcW w:w="3355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neu</w:t>
            </w:r>
          </w:p>
        </w:tc>
        <w:tc>
          <w:tcPr>
            <w:tcW w:w="3872" w:type="dxa"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Neue Klasse "Umweltmessstelle" - (punktförmig, oder detaillierter mit Messgeräten: flächenförmig).</w:t>
            </w:r>
            <w:r w:rsidRPr="006768C5">
              <w:rPr>
                <w:sz w:val="18"/>
                <w:szCs w:val="18"/>
              </w:rPr>
              <w:br/>
              <w:t>Messstelle (Container) zur Messung der Umweltbelastung (Stichwort: Luftreinhalteplan)</w:t>
            </w:r>
          </w:p>
        </w:tc>
        <w:tc>
          <w:tcPr>
            <w:tcW w:w="4278" w:type="dxa"/>
          </w:tcPr>
          <w:p w:rsidR="0033529E" w:rsidRPr="00B052BA" w:rsidRDefault="0033529E" w:rsidP="0033529E">
            <w:pPr>
              <w:rPr>
                <w:sz w:val="18"/>
                <w:szCs w:val="18"/>
              </w:rPr>
            </w:pPr>
            <w:r w:rsidRPr="00B052BA">
              <w:rPr>
                <w:sz w:val="18"/>
                <w:szCs w:val="18"/>
              </w:rPr>
              <w:t>Die A</w:t>
            </w:r>
            <w:r>
              <w:rPr>
                <w:sz w:val="18"/>
                <w:szCs w:val="18"/>
              </w:rPr>
              <w:t>nforderung wird nicht umgesetzt.</w:t>
            </w:r>
          </w:p>
          <w:p w:rsidR="006768C5" w:rsidRPr="006768C5" w:rsidRDefault="006768C5" w:rsidP="00F90FF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>Die Erfassung soll erfolgen über die Kl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sse </w:t>
            </w:r>
            <w:proofErr w:type="spellStart"/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>UF_Container</w:t>
            </w:r>
            <w:proofErr w:type="spellEnd"/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mit "Nutzung" = "Umweltmessstation"</w:t>
            </w:r>
          </w:p>
        </w:tc>
      </w:tr>
      <w:tr w:rsidR="006768C5" w:rsidRPr="006768C5" w:rsidTr="00F90FFB">
        <w:trPr>
          <w:trHeight w:val="1440"/>
        </w:trPr>
        <w:tc>
          <w:tcPr>
            <w:tcW w:w="1531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379</w:t>
            </w:r>
          </w:p>
        </w:tc>
        <w:tc>
          <w:tcPr>
            <w:tcW w:w="1276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16.06.2014</w:t>
            </w:r>
          </w:p>
        </w:tc>
        <w:tc>
          <w:tcPr>
            <w:tcW w:w="3355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bookmarkStart w:id="0" w:name="_GoBack"/>
            <w:bookmarkEnd w:id="0"/>
            <w:proofErr w:type="spellStart"/>
            <w:r w:rsidRPr="006768C5">
              <w:rPr>
                <w:sz w:val="18"/>
                <w:szCs w:val="18"/>
              </w:rPr>
              <w:t>BP_MessAbleseEinrichtung</w:t>
            </w:r>
            <w:proofErr w:type="spellEnd"/>
            <w:r w:rsidRPr="006768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3872" w:type="dxa"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Diverse punktförmige Messgeräte, die bislang noch nicht vorkommen: Höhenmesser, Nebelmessgerät, Nebelwarngerät.</w:t>
            </w:r>
          </w:p>
        </w:tc>
        <w:tc>
          <w:tcPr>
            <w:tcW w:w="4278" w:type="dxa"/>
          </w:tcPr>
          <w:p w:rsidR="006768C5" w:rsidRPr="006768C5" w:rsidRDefault="006768C5" w:rsidP="00F90FFB">
            <w:pPr>
              <w:pStyle w:val="Listenabsatz"/>
              <w:numPr>
                <w:ilvl w:val="0"/>
                <w:numId w:val="9"/>
              </w:numPr>
              <w:ind w:left="341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Höhenmesser: Bitte die Klasse </w:t>
            </w:r>
            <w:proofErr w:type="spellStart"/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>UP_Wolkenhoehenmesser</w:t>
            </w:r>
            <w:proofErr w:type="spellEnd"/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verwenden </w:t>
            </w:r>
          </w:p>
          <w:p w:rsidR="006768C5" w:rsidRPr="006768C5" w:rsidRDefault="006768C5" w:rsidP="00F90FFB">
            <w:pPr>
              <w:pStyle w:val="Listenabsatz"/>
              <w:numPr>
                <w:ilvl w:val="0"/>
                <w:numId w:val="9"/>
              </w:numPr>
              <w:ind w:left="341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Nebelmessgerät: Bitte die Klasse </w:t>
            </w:r>
            <w:proofErr w:type="spellStart"/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>UP_Streulichtmessgeraet</w:t>
            </w:r>
            <w:proofErr w:type="spellEnd"/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verwenden </w:t>
            </w:r>
          </w:p>
          <w:p w:rsidR="006768C5" w:rsidRPr="006768C5" w:rsidRDefault="006768C5" w:rsidP="00F90FFB">
            <w:pPr>
              <w:pStyle w:val="Listenabsatz"/>
              <w:numPr>
                <w:ilvl w:val="0"/>
                <w:numId w:val="9"/>
              </w:numPr>
              <w:ind w:left="341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>Die Messstellenart "Nebelwarngerät" ist nicht bekannt, was wird darunter verstanden?</w:t>
            </w:r>
          </w:p>
        </w:tc>
      </w:tr>
      <w:tr w:rsidR="006768C5" w:rsidRPr="006768C5" w:rsidTr="00F90FFB">
        <w:trPr>
          <w:trHeight w:val="1440"/>
        </w:trPr>
        <w:tc>
          <w:tcPr>
            <w:tcW w:w="1531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399</w:t>
            </w:r>
          </w:p>
        </w:tc>
        <w:tc>
          <w:tcPr>
            <w:tcW w:w="1276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16.06.2014</w:t>
            </w:r>
          </w:p>
        </w:tc>
        <w:tc>
          <w:tcPr>
            <w:tcW w:w="3355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proofErr w:type="spellStart"/>
            <w:r w:rsidRPr="006768C5">
              <w:rPr>
                <w:sz w:val="18"/>
                <w:szCs w:val="18"/>
              </w:rPr>
              <w:t>UP_Baum</w:t>
            </w:r>
            <w:proofErr w:type="spellEnd"/>
          </w:p>
        </w:tc>
        <w:tc>
          <w:tcPr>
            <w:tcW w:w="3872" w:type="dxa"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Erfassungsregel für den Wert "Stammumfang" bei mehrstämmigen Bäumen.</w:t>
            </w:r>
          </w:p>
        </w:tc>
        <w:tc>
          <w:tcPr>
            <w:tcW w:w="4278" w:type="dxa"/>
          </w:tcPr>
          <w:p w:rsidR="0033529E" w:rsidRDefault="006768C5" w:rsidP="00F90FF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Die </w:t>
            </w: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Erfassung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des Durchmessers bei </w:t>
            </w: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>mehrstämmigen Bäumen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>Durchmessers erfolgt als Summe der Einzeldurchmesser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 Die Beschreibung</w:t>
            </w:r>
            <w:r w:rsidR="003352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im Katalog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wird entsprechend ergänzt. </w:t>
            </w:r>
          </w:p>
          <w:p w:rsidR="006768C5" w:rsidRPr="006768C5" w:rsidRDefault="006768C5" w:rsidP="00F90FF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Zusätzlich soll in der nächsten Modellversion ein</w:t>
            </w: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Attribut "mehrstämmig" als </w:t>
            </w:r>
            <w:proofErr w:type="spellStart"/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>boolsches</w:t>
            </w:r>
            <w:proofErr w:type="spellEnd"/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Attribut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(WAHR/FALSCH) eingeführt werden.</w:t>
            </w:r>
          </w:p>
        </w:tc>
      </w:tr>
      <w:tr w:rsidR="006768C5" w:rsidRPr="006768C5" w:rsidTr="00F90FFB">
        <w:trPr>
          <w:trHeight w:val="864"/>
        </w:trPr>
        <w:tc>
          <w:tcPr>
            <w:tcW w:w="1531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400</w:t>
            </w:r>
          </w:p>
        </w:tc>
        <w:tc>
          <w:tcPr>
            <w:tcW w:w="1276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16.06.2014</w:t>
            </w:r>
          </w:p>
        </w:tc>
        <w:tc>
          <w:tcPr>
            <w:tcW w:w="3355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proofErr w:type="spellStart"/>
            <w:r w:rsidRPr="006768C5">
              <w:rPr>
                <w:sz w:val="18"/>
                <w:szCs w:val="18"/>
              </w:rPr>
              <w:t>LA_SportflaecheOberflaechenbefestigung</w:t>
            </w:r>
            <w:proofErr w:type="spellEnd"/>
          </w:p>
        </w:tc>
        <w:tc>
          <w:tcPr>
            <w:tcW w:w="3872" w:type="dxa"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Ergänzung der WL um: „Schwarz-Asche“, „Rot-Asche“, „Tartan“?</w:t>
            </w:r>
          </w:p>
        </w:tc>
        <w:tc>
          <w:tcPr>
            <w:tcW w:w="4278" w:type="dxa"/>
          </w:tcPr>
          <w:p w:rsidR="00B052BA" w:rsidRPr="00B052BA" w:rsidRDefault="00B052BA" w:rsidP="00B052BA">
            <w:pPr>
              <w:rPr>
                <w:sz w:val="18"/>
                <w:szCs w:val="18"/>
              </w:rPr>
            </w:pPr>
            <w:r w:rsidRPr="00B052BA">
              <w:rPr>
                <w:sz w:val="18"/>
                <w:szCs w:val="18"/>
              </w:rPr>
              <w:t>Die A</w:t>
            </w:r>
            <w:r>
              <w:rPr>
                <w:sz w:val="18"/>
                <w:szCs w:val="18"/>
              </w:rPr>
              <w:t>nforderung wird nicht umgesetzt.</w:t>
            </w:r>
          </w:p>
          <w:p w:rsidR="006768C5" w:rsidRDefault="006768C5" w:rsidP="00F90FFB">
            <w:pPr>
              <w:pStyle w:val="Listenabsatz"/>
              <w:numPr>
                <w:ilvl w:val="0"/>
                <w:numId w:val="9"/>
              </w:numPr>
              <w:ind w:left="341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„</w:t>
            </w: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>Schwarz-Asche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“</w:t>
            </w: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und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„</w:t>
            </w: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>Rot-Asche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“</w:t>
            </w: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ist gleichbedeutend mit "Tenne". </w:t>
            </w:r>
          </w:p>
          <w:p w:rsidR="006768C5" w:rsidRPr="006768C5" w:rsidRDefault="006768C5" w:rsidP="00F90FFB">
            <w:pPr>
              <w:pStyle w:val="Listenabsatz"/>
              <w:numPr>
                <w:ilvl w:val="0"/>
                <w:numId w:val="9"/>
              </w:numPr>
              <w:ind w:left="341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>Tartan ist eine Markenbezeichnung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für</w:t>
            </w:r>
            <w:r w:rsidR="00F90FF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ein bestimmtes Oberflächenbefestigungsmaterial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F90FFB">
              <w:rPr>
                <w:rFonts w:ascii="Calibri" w:hAnsi="Calibri" w:cs="Calibri"/>
                <w:color w:val="000000"/>
                <w:sz w:val="18"/>
                <w:szCs w:val="18"/>
              </w:rPr>
              <w:t>der Art „Kunststoff“</w:t>
            </w: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</w:tr>
      <w:tr w:rsidR="006768C5" w:rsidRPr="006768C5" w:rsidTr="00F90FFB">
        <w:trPr>
          <w:trHeight w:val="2016"/>
        </w:trPr>
        <w:tc>
          <w:tcPr>
            <w:tcW w:w="1531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407</w:t>
            </w:r>
          </w:p>
        </w:tc>
        <w:tc>
          <w:tcPr>
            <w:tcW w:w="1276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16.06.2014</w:t>
            </w:r>
          </w:p>
        </w:tc>
        <w:tc>
          <w:tcPr>
            <w:tcW w:w="3355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neu</w:t>
            </w:r>
          </w:p>
        </w:tc>
        <w:tc>
          <w:tcPr>
            <w:tcW w:w="3872" w:type="dxa"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An Sportplätzen sind häufig Straßenab</w:t>
            </w:r>
            <w:r w:rsidR="00F90FFB">
              <w:rPr>
                <w:sz w:val="18"/>
                <w:szCs w:val="18"/>
              </w:rPr>
              <w:t>läufe für das Oberflächenwasser</w:t>
            </w:r>
            <w:r w:rsidRPr="006768C5">
              <w:rPr>
                <w:sz w:val="18"/>
                <w:szCs w:val="18"/>
              </w:rPr>
              <w:t xml:space="preserve"> in das Drainagesystem anzutreffen. Diese sind baulich entscheidend anders als herkömmliche Straßenabläufe. Im Extremfalle sind sie mit Teilen der Kunststoff-Laufbahn eingedeckt. Aufgrund dieser anderen Gestaltung sollte dafür ein neues Objekt eingeführt werden.</w:t>
            </w:r>
          </w:p>
        </w:tc>
        <w:tc>
          <w:tcPr>
            <w:tcW w:w="4278" w:type="dxa"/>
          </w:tcPr>
          <w:p w:rsidR="006768C5" w:rsidRPr="006768C5" w:rsidRDefault="00F90FFB" w:rsidP="00F90FF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</w:t>
            </w:r>
            <w:r w:rsidR="006768C5" w:rsidRPr="006768C5">
              <w:rPr>
                <w:rFonts w:ascii="Calibri" w:hAnsi="Calibri" w:cs="Calibri"/>
                <w:color w:val="000000"/>
                <w:sz w:val="18"/>
                <w:szCs w:val="18"/>
              </w:rPr>
              <w:t>ierzu gibt es keine fachliche Veranlassung, eine Unterscheidung für die Prozesse der betrieblichen und baulichen Aspekte ist nicht erforderlich.</w:t>
            </w:r>
          </w:p>
        </w:tc>
      </w:tr>
      <w:tr w:rsidR="006768C5" w:rsidRPr="006768C5" w:rsidTr="00F90FFB">
        <w:trPr>
          <w:trHeight w:val="2880"/>
        </w:trPr>
        <w:tc>
          <w:tcPr>
            <w:tcW w:w="1531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lastRenderedPageBreak/>
              <w:t>409</w:t>
            </w:r>
          </w:p>
        </w:tc>
        <w:tc>
          <w:tcPr>
            <w:tcW w:w="1276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16.06.2014</w:t>
            </w:r>
          </w:p>
        </w:tc>
        <w:tc>
          <w:tcPr>
            <w:tcW w:w="3355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neu</w:t>
            </w:r>
          </w:p>
        </w:tc>
        <w:tc>
          <w:tcPr>
            <w:tcW w:w="3872" w:type="dxa"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Für die Verkehrsüberwachung werden inzwischen diverse stationäre Geräte eingesetzt. Für die Darstellung sollte ein neues Objekt (punktförmig) eingeführt werden.</w:t>
            </w:r>
            <w:r w:rsidRPr="006768C5">
              <w:rPr>
                <w:sz w:val="18"/>
                <w:szCs w:val="18"/>
              </w:rPr>
              <w:br/>
              <w:t xml:space="preserve">Es gibt verschiedene Ausführungen und verschiedene Anwendungszwecke der Verkehrsüberwachungsgeräte (drehbare „Blitzer“ / „Starenkästen“, festinstallierte Säulen, </w:t>
            </w:r>
            <w:proofErr w:type="spellStart"/>
            <w:r w:rsidRPr="006768C5">
              <w:rPr>
                <w:sz w:val="18"/>
                <w:szCs w:val="18"/>
              </w:rPr>
              <w:t>Gewichtsblitzer</w:t>
            </w:r>
            <w:proofErr w:type="spellEnd"/>
            <w:r w:rsidRPr="006768C5">
              <w:rPr>
                <w:sz w:val="18"/>
                <w:szCs w:val="18"/>
              </w:rPr>
              <w:t xml:space="preserve">, </w:t>
            </w:r>
            <w:proofErr w:type="spellStart"/>
            <w:r w:rsidRPr="006768C5">
              <w:rPr>
                <w:sz w:val="18"/>
                <w:szCs w:val="18"/>
              </w:rPr>
              <w:t>Abstandsblitzer</w:t>
            </w:r>
            <w:proofErr w:type="spellEnd"/>
            <w:r w:rsidRPr="006768C5">
              <w:rPr>
                <w:sz w:val="18"/>
                <w:szCs w:val="18"/>
              </w:rPr>
              <w:t xml:space="preserve"> u. ä.), aber auch reine Geschwindigkeitsanzeiger („Sie fahren 37 km / h. Danke!“, als Dialog-Displays bezeichnet), welche alle hierunter fallen dürften.</w:t>
            </w:r>
          </w:p>
        </w:tc>
        <w:tc>
          <w:tcPr>
            <w:tcW w:w="4278" w:type="dxa"/>
          </w:tcPr>
          <w:p w:rsidR="006768C5" w:rsidRPr="006768C5" w:rsidRDefault="00F90FFB" w:rsidP="00F90FF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Diese Anlagen</w:t>
            </w:r>
            <w:r w:rsidR="006768C5" w:rsidRPr="006768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kommt auf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Bundesliegenschaften nicht vor und werden daher nicht in das Liegenschaftsbestandsmodell aufgenommen.</w:t>
            </w:r>
          </w:p>
        </w:tc>
      </w:tr>
      <w:tr w:rsidR="006768C5" w:rsidRPr="006768C5" w:rsidTr="00F90FFB">
        <w:trPr>
          <w:trHeight w:val="1152"/>
        </w:trPr>
        <w:tc>
          <w:tcPr>
            <w:tcW w:w="1531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412</w:t>
            </w:r>
          </w:p>
        </w:tc>
        <w:tc>
          <w:tcPr>
            <w:tcW w:w="1276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16.06.2014</w:t>
            </w:r>
          </w:p>
        </w:tc>
        <w:tc>
          <w:tcPr>
            <w:tcW w:w="3355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neu</w:t>
            </w:r>
          </w:p>
        </w:tc>
        <w:tc>
          <w:tcPr>
            <w:tcW w:w="3872" w:type="dxa"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neu: Wandanker (zur Befestigung einer Fahr- / Oberleitung an einem Gebäude oder einer Mauer) als Gegenstück zum Fahrleitungs- bzw. zum Oberleitungsmast.</w:t>
            </w:r>
          </w:p>
        </w:tc>
        <w:tc>
          <w:tcPr>
            <w:tcW w:w="4278" w:type="dxa"/>
          </w:tcPr>
          <w:p w:rsidR="00F90FFB" w:rsidRPr="006768C5" w:rsidRDefault="00F90FFB" w:rsidP="00F90FF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Es besteht </w:t>
            </w:r>
            <w:r w:rsidR="006768C5" w:rsidRPr="006768C5">
              <w:rPr>
                <w:rFonts w:ascii="Calibri" w:hAnsi="Calibri" w:cs="Calibri"/>
                <w:color w:val="000000"/>
                <w:sz w:val="18"/>
                <w:szCs w:val="18"/>
              </w:rPr>
              <w:t>kein Informationsbedarf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aus Sicht der Liegenschaftsbestandsdokumentation des Bundes.</w:t>
            </w:r>
          </w:p>
        </w:tc>
      </w:tr>
      <w:tr w:rsidR="006768C5" w:rsidRPr="006768C5" w:rsidTr="00F90FFB">
        <w:trPr>
          <w:trHeight w:val="1728"/>
        </w:trPr>
        <w:tc>
          <w:tcPr>
            <w:tcW w:w="1531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474</w:t>
            </w:r>
          </w:p>
        </w:tc>
        <w:tc>
          <w:tcPr>
            <w:tcW w:w="1276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16.06.2014</w:t>
            </w:r>
          </w:p>
        </w:tc>
        <w:tc>
          <w:tcPr>
            <w:tcW w:w="3355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neu</w:t>
            </w:r>
          </w:p>
        </w:tc>
        <w:tc>
          <w:tcPr>
            <w:tcW w:w="3872" w:type="dxa"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neu: Schlauchhalter, punktförmig, wandhängend; Beschreibung: (nicht das Seilstück gem. WIKIPEDIA) ein (häufig hölzerner) Haken-ähnlicher Gegenstand (manchmal auch aus einer Autoreifen-Felge gebaut) an der Wand, über den ein (Wasser-)Schlauch gewickelt werden kann.</w:t>
            </w:r>
          </w:p>
        </w:tc>
        <w:tc>
          <w:tcPr>
            <w:tcW w:w="4278" w:type="dxa"/>
          </w:tcPr>
          <w:p w:rsidR="006768C5" w:rsidRPr="006768C5" w:rsidRDefault="00F90FFB" w:rsidP="00F90FF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Es besteht </w:t>
            </w: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>kein Informationsbedarf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aus Sicht der Liegenschaftsbestandsdokumentation des Bundes.</w:t>
            </w:r>
          </w:p>
        </w:tc>
      </w:tr>
      <w:tr w:rsidR="006768C5" w:rsidRPr="006768C5" w:rsidTr="00F90FFB">
        <w:trPr>
          <w:trHeight w:val="864"/>
        </w:trPr>
        <w:tc>
          <w:tcPr>
            <w:tcW w:w="1531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482</w:t>
            </w:r>
          </w:p>
        </w:tc>
        <w:tc>
          <w:tcPr>
            <w:tcW w:w="1276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16.06.2014</w:t>
            </w:r>
          </w:p>
        </w:tc>
        <w:tc>
          <w:tcPr>
            <w:tcW w:w="3355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neu</w:t>
            </w:r>
          </w:p>
        </w:tc>
        <w:tc>
          <w:tcPr>
            <w:tcW w:w="3872" w:type="dxa"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Neu: (Abdeckung der Lüftung bzw. des Abzugs für einen [Gas-])Außenwandheizer (punktförmig) an Gebäude-Außenseiten</w:t>
            </w:r>
          </w:p>
        </w:tc>
        <w:tc>
          <w:tcPr>
            <w:tcW w:w="4278" w:type="dxa"/>
          </w:tcPr>
          <w:p w:rsidR="006768C5" w:rsidRPr="006768C5" w:rsidRDefault="00F90FFB" w:rsidP="00F90FF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Es besteht </w:t>
            </w:r>
            <w:r w:rsidRPr="006768C5">
              <w:rPr>
                <w:rFonts w:ascii="Calibri" w:hAnsi="Calibri" w:cs="Calibri"/>
                <w:color w:val="000000"/>
                <w:sz w:val="18"/>
                <w:szCs w:val="18"/>
              </w:rPr>
              <w:t>kein Informationsbedarf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aus Sicht der Liegenschaftsbestandsdokumentation des Bundes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 Ggf. sind sie in der Gebäudebestandsdokumentation nachzuweisen.</w:t>
            </w:r>
          </w:p>
        </w:tc>
      </w:tr>
      <w:tr w:rsidR="006768C5" w:rsidRPr="006768C5" w:rsidTr="00F90FFB">
        <w:trPr>
          <w:trHeight w:val="20"/>
        </w:trPr>
        <w:tc>
          <w:tcPr>
            <w:tcW w:w="1531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496</w:t>
            </w:r>
          </w:p>
        </w:tc>
        <w:tc>
          <w:tcPr>
            <w:tcW w:w="1276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16.06.2014</w:t>
            </w:r>
          </w:p>
        </w:tc>
        <w:tc>
          <w:tcPr>
            <w:tcW w:w="3355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neu</w:t>
            </w:r>
          </w:p>
        </w:tc>
        <w:tc>
          <w:tcPr>
            <w:tcW w:w="3872" w:type="dxa"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neu: linienförmig: Leucht- / Lichtband oder -schiene oder –leiste.</w:t>
            </w:r>
            <w:r w:rsidRPr="006768C5">
              <w:rPr>
                <w:sz w:val="18"/>
                <w:szCs w:val="18"/>
              </w:rPr>
              <w:br/>
              <w:t>Einerseits nimmt die Zahl der LED-Licht-Anwendungen zu (Bodenleuchtband), andererseits sind in Unterführungen Decken-Leuchtbänder aus aneinandergereihten Leuchtstoffröhren vorhanden. Die punktförmige Darstellung der Lampen gäbe die Situation nicht korrekt wieder.</w:t>
            </w:r>
          </w:p>
        </w:tc>
        <w:tc>
          <w:tcPr>
            <w:tcW w:w="4278" w:type="dxa"/>
          </w:tcPr>
          <w:p w:rsidR="006768C5" w:rsidRPr="006768C5" w:rsidRDefault="00F90FFB" w:rsidP="00F90FF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Eine Klasse zur linienförmigen Erfassung wird mit der nächsten Modellversion bereitgestellt.</w:t>
            </w:r>
          </w:p>
        </w:tc>
      </w:tr>
      <w:tr w:rsidR="006768C5" w:rsidRPr="006768C5" w:rsidTr="00F90FFB">
        <w:trPr>
          <w:trHeight w:val="1152"/>
        </w:trPr>
        <w:tc>
          <w:tcPr>
            <w:tcW w:w="1531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lastRenderedPageBreak/>
              <w:t>563</w:t>
            </w:r>
          </w:p>
        </w:tc>
        <w:tc>
          <w:tcPr>
            <w:tcW w:w="1276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16.06.2014</w:t>
            </w:r>
          </w:p>
        </w:tc>
        <w:tc>
          <w:tcPr>
            <w:tcW w:w="3355" w:type="dxa"/>
            <w:noWrap/>
            <w:hideMark/>
          </w:tcPr>
          <w:p w:rsidR="006768C5" w:rsidRPr="006768C5" w:rsidRDefault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div.</w:t>
            </w:r>
          </w:p>
        </w:tc>
        <w:tc>
          <w:tcPr>
            <w:tcW w:w="3872" w:type="dxa"/>
            <w:hideMark/>
          </w:tcPr>
          <w:p w:rsidR="006768C5" w:rsidRPr="006768C5" w:rsidRDefault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Ähnliche Attribute sollten hinsichtlich ihres Attributtextes auch ähnlich bis identisch aufgebaut sein. Das betrifft bspw. die Höhenangaben mit / ohne Präfix bzw. mit / ohne Einheitsangabe.</w:t>
            </w:r>
          </w:p>
        </w:tc>
        <w:tc>
          <w:tcPr>
            <w:tcW w:w="4278" w:type="dxa"/>
          </w:tcPr>
          <w:p w:rsidR="006768C5" w:rsidRPr="006768C5" w:rsidRDefault="00B052BA" w:rsidP="00B05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Bezug auf die Darstellung von Höhenwerten (Z-Werten) wird in der kommenden Modellversion die folgende Vereinheitlichung erfolgen: Höhentexte werde in kursiver Schrift und ohne Präfix/Suffix dargestellt. Dementsprechend werden zu anderen Attributen die „kursiven“ </w:t>
            </w:r>
            <w:r>
              <w:rPr>
                <w:sz w:val="18"/>
                <w:szCs w:val="18"/>
              </w:rPr>
              <w:t>Textformate</w:t>
            </w:r>
            <w:r>
              <w:rPr>
                <w:sz w:val="18"/>
                <w:szCs w:val="18"/>
              </w:rPr>
              <w:t xml:space="preserve"> abgelöst. Eine Ausnahme bildet der Fachbereich Abwasser. Hier gelten bei der </w:t>
            </w:r>
            <w:r>
              <w:rPr>
                <w:sz w:val="18"/>
                <w:szCs w:val="18"/>
              </w:rPr>
              <w:t>Planausgestaltung</w:t>
            </w:r>
            <w:r>
              <w:rPr>
                <w:sz w:val="18"/>
                <w:szCs w:val="18"/>
              </w:rPr>
              <w:t xml:space="preserve"> vorrangig die besonderen Vorschriften der BFR Abwasser. </w:t>
            </w:r>
          </w:p>
        </w:tc>
      </w:tr>
      <w:tr w:rsidR="006768C5" w:rsidRPr="006768C5" w:rsidTr="00F90FFB">
        <w:trPr>
          <w:trHeight w:val="2016"/>
        </w:trPr>
        <w:tc>
          <w:tcPr>
            <w:tcW w:w="1531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734</w:t>
            </w:r>
          </w:p>
        </w:tc>
        <w:tc>
          <w:tcPr>
            <w:tcW w:w="1276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13.07.2020</w:t>
            </w:r>
          </w:p>
        </w:tc>
        <w:tc>
          <w:tcPr>
            <w:tcW w:w="3355" w:type="dxa"/>
            <w:noWrap/>
            <w:hideMark/>
          </w:tcPr>
          <w:p w:rsidR="006768C5" w:rsidRPr="006768C5" w:rsidRDefault="006768C5">
            <w:pPr>
              <w:rPr>
                <w:sz w:val="18"/>
                <w:szCs w:val="18"/>
              </w:rPr>
            </w:pPr>
            <w:proofErr w:type="spellStart"/>
            <w:r w:rsidRPr="006768C5">
              <w:rPr>
                <w:sz w:val="18"/>
                <w:szCs w:val="18"/>
              </w:rPr>
              <w:t>UP_Baum</w:t>
            </w:r>
            <w:proofErr w:type="spellEnd"/>
          </w:p>
        </w:tc>
        <w:tc>
          <w:tcPr>
            <w:tcW w:w="3872" w:type="dxa"/>
            <w:hideMark/>
          </w:tcPr>
          <w:p w:rsidR="006768C5" w:rsidRPr="006768C5" w:rsidRDefault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Text „KD“ als Präfix beim Kronendurchmesser von Bäumen: Wäre es denkbar, statt „KD“ lieber „</w:t>
            </w:r>
            <w:proofErr w:type="spellStart"/>
            <w:r w:rsidRPr="006768C5">
              <w:rPr>
                <w:sz w:val="18"/>
                <w:szCs w:val="18"/>
              </w:rPr>
              <w:t>KrD</w:t>
            </w:r>
            <w:proofErr w:type="spellEnd"/>
            <w:r w:rsidRPr="006768C5">
              <w:rPr>
                <w:sz w:val="18"/>
                <w:szCs w:val="18"/>
              </w:rPr>
              <w:t>“ zu verwenden? „KD“ erinnert stark an „Kanaldeckel“. Zudem wird beim Stammumfang auch „</w:t>
            </w:r>
            <w:proofErr w:type="spellStart"/>
            <w:r w:rsidRPr="006768C5">
              <w:rPr>
                <w:sz w:val="18"/>
                <w:szCs w:val="18"/>
              </w:rPr>
              <w:t>StU</w:t>
            </w:r>
            <w:proofErr w:type="spellEnd"/>
            <w:r w:rsidRPr="006768C5">
              <w:rPr>
                <w:sz w:val="18"/>
                <w:szCs w:val="18"/>
              </w:rPr>
              <w:t>“ statt „SU“ geschrieben, also der zweite Buchstabe/Mitlaut mit dargestellt – so könnte es beim Kronendurchmesser ebenfalls sein.</w:t>
            </w:r>
          </w:p>
        </w:tc>
        <w:tc>
          <w:tcPr>
            <w:tcW w:w="4278" w:type="dxa"/>
          </w:tcPr>
          <w:p w:rsidR="006768C5" w:rsidRPr="006768C5" w:rsidRDefault="00B052BA" w:rsidP="00B05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er Präfix „KD“ wird wie vorgeschlagen </w:t>
            </w:r>
            <w:r>
              <w:rPr>
                <w:sz w:val="18"/>
                <w:szCs w:val="18"/>
              </w:rPr>
              <w:t xml:space="preserve">in der nächsten Modellversion </w:t>
            </w:r>
            <w:r>
              <w:rPr>
                <w:sz w:val="18"/>
                <w:szCs w:val="18"/>
              </w:rPr>
              <w:t>auf „</w:t>
            </w:r>
            <w:proofErr w:type="spellStart"/>
            <w:r>
              <w:rPr>
                <w:sz w:val="18"/>
                <w:szCs w:val="18"/>
              </w:rPr>
              <w:t>KrD</w:t>
            </w:r>
            <w:proofErr w:type="spellEnd"/>
            <w:r>
              <w:rPr>
                <w:sz w:val="18"/>
                <w:szCs w:val="18"/>
              </w:rPr>
              <w:t>“ geändert</w:t>
            </w:r>
            <w:r>
              <w:rPr>
                <w:sz w:val="18"/>
                <w:szCs w:val="18"/>
              </w:rPr>
              <w:t>.</w:t>
            </w:r>
          </w:p>
        </w:tc>
      </w:tr>
      <w:tr w:rsidR="006768C5" w:rsidRPr="006768C5" w:rsidTr="00F90FFB">
        <w:trPr>
          <w:trHeight w:val="2304"/>
        </w:trPr>
        <w:tc>
          <w:tcPr>
            <w:tcW w:w="1531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735</w:t>
            </w:r>
          </w:p>
        </w:tc>
        <w:tc>
          <w:tcPr>
            <w:tcW w:w="1276" w:type="dxa"/>
            <w:noWrap/>
            <w:hideMark/>
          </w:tcPr>
          <w:p w:rsidR="006768C5" w:rsidRPr="006768C5" w:rsidRDefault="006768C5" w:rsidP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13.07.2020</w:t>
            </w:r>
          </w:p>
        </w:tc>
        <w:tc>
          <w:tcPr>
            <w:tcW w:w="3355" w:type="dxa"/>
            <w:noWrap/>
            <w:hideMark/>
          </w:tcPr>
          <w:p w:rsidR="006768C5" w:rsidRPr="006768C5" w:rsidRDefault="006768C5">
            <w:pPr>
              <w:rPr>
                <w:sz w:val="18"/>
                <w:szCs w:val="18"/>
              </w:rPr>
            </w:pPr>
            <w:proofErr w:type="spellStart"/>
            <w:r w:rsidRPr="006768C5">
              <w:rPr>
                <w:sz w:val="18"/>
                <w:szCs w:val="18"/>
              </w:rPr>
              <w:t>UF_Gruenflaeche</w:t>
            </w:r>
            <w:proofErr w:type="spellEnd"/>
          </w:p>
        </w:tc>
        <w:tc>
          <w:tcPr>
            <w:tcW w:w="3872" w:type="dxa"/>
            <w:hideMark/>
          </w:tcPr>
          <w:p w:rsidR="006768C5" w:rsidRPr="006768C5" w:rsidRDefault="006768C5">
            <w:pPr>
              <w:rPr>
                <w:sz w:val="18"/>
                <w:szCs w:val="18"/>
              </w:rPr>
            </w:pPr>
            <w:r w:rsidRPr="006768C5">
              <w:rPr>
                <w:sz w:val="18"/>
                <w:szCs w:val="18"/>
              </w:rPr>
              <w:t>Weshalb wird bei allgemeinem Rasen der doch recht lange Text „Allgemein“ eingetragen? Die anderen Möglichkeiten „</w:t>
            </w:r>
            <w:proofErr w:type="spellStart"/>
            <w:r w:rsidRPr="006768C5">
              <w:rPr>
                <w:sz w:val="18"/>
                <w:szCs w:val="18"/>
              </w:rPr>
              <w:t>LRasen</w:t>
            </w:r>
            <w:proofErr w:type="spellEnd"/>
            <w:r w:rsidRPr="006768C5">
              <w:rPr>
                <w:sz w:val="18"/>
                <w:szCs w:val="18"/>
              </w:rPr>
              <w:t>“ und „</w:t>
            </w:r>
            <w:proofErr w:type="spellStart"/>
            <w:r w:rsidRPr="006768C5">
              <w:rPr>
                <w:sz w:val="18"/>
                <w:szCs w:val="18"/>
              </w:rPr>
              <w:t>GRasen</w:t>
            </w:r>
            <w:proofErr w:type="spellEnd"/>
            <w:r w:rsidRPr="006768C5">
              <w:rPr>
                <w:sz w:val="18"/>
                <w:szCs w:val="18"/>
              </w:rPr>
              <w:t>“ kommen i. a. in größeren Flächen vor, aber der Text „Allgemein“ wird auch bei sehr kleinen Rasenflächen eingetragen, so dass der Text stört. Vorschlag: Statt der drei verschiedenen Texte könnten drei verschiedene Signaturen verwendet und somit Text völlig weggelassen werden.</w:t>
            </w:r>
          </w:p>
        </w:tc>
        <w:tc>
          <w:tcPr>
            <w:tcW w:w="4278" w:type="dxa"/>
          </w:tcPr>
          <w:p w:rsidR="006768C5" w:rsidRPr="006768C5" w:rsidRDefault="00B052BA" w:rsidP="00B05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vorgeschlagenen kürzeren Kürzel werden in der nächsten Modellversion eingeführt.</w:t>
            </w:r>
          </w:p>
        </w:tc>
      </w:tr>
    </w:tbl>
    <w:p w:rsidR="009529E3" w:rsidRPr="00264795" w:rsidRDefault="009529E3" w:rsidP="009529E3"/>
    <w:sectPr w:rsidR="009529E3" w:rsidRPr="00264795" w:rsidSect="006768C5"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033" w:rsidRDefault="00265033" w:rsidP="00F9636D">
      <w:pPr>
        <w:spacing w:after="0" w:line="240" w:lineRule="auto"/>
      </w:pPr>
      <w:r>
        <w:separator/>
      </w:r>
    </w:p>
  </w:endnote>
  <w:endnote w:type="continuationSeparator" w:id="0">
    <w:p w:rsidR="00265033" w:rsidRDefault="00265033" w:rsidP="00F96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36D" w:rsidRDefault="00734A3E" w:rsidP="00B052BA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7088"/>
        <w:tab w:val="right" w:pos="14175"/>
      </w:tabs>
    </w:pPr>
    <w:r>
      <w:t xml:space="preserve">Landesamt </w:t>
    </w:r>
    <w:r w:rsidR="00F9636D">
      <w:t>GeoInformation Bremen</w:t>
    </w:r>
    <w:r w:rsidR="00F9636D">
      <w:tab/>
      <w:t xml:space="preserve">Seite </w:t>
    </w:r>
    <w:r w:rsidR="00F9636D">
      <w:fldChar w:fldCharType="begin"/>
    </w:r>
    <w:r w:rsidR="00F9636D">
      <w:instrText xml:space="preserve"> PAGE   \* MERGEFORMAT </w:instrText>
    </w:r>
    <w:r w:rsidR="00F9636D">
      <w:fldChar w:fldCharType="separate"/>
    </w:r>
    <w:r w:rsidR="002B0725">
      <w:rPr>
        <w:noProof/>
      </w:rPr>
      <w:t>2</w:t>
    </w:r>
    <w:r w:rsidR="00F9636D">
      <w:fldChar w:fldCharType="end"/>
    </w:r>
    <w:r w:rsidR="00F9636D">
      <w:t xml:space="preserve"> / </w:t>
    </w:r>
    <w:r w:rsidR="00265033">
      <w:rPr>
        <w:noProof/>
      </w:rPr>
      <w:fldChar w:fldCharType="begin"/>
    </w:r>
    <w:r w:rsidR="00265033">
      <w:rPr>
        <w:noProof/>
      </w:rPr>
      <w:instrText xml:space="preserve"> NUMPAGES   \* MERGEFORMAT </w:instrText>
    </w:r>
    <w:r w:rsidR="00265033">
      <w:rPr>
        <w:noProof/>
      </w:rPr>
      <w:fldChar w:fldCharType="separate"/>
    </w:r>
    <w:r w:rsidR="002B0725">
      <w:rPr>
        <w:noProof/>
      </w:rPr>
      <w:t>3</w:t>
    </w:r>
    <w:r w:rsidR="00265033">
      <w:rPr>
        <w:noProof/>
      </w:rPr>
      <w:fldChar w:fldCharType="end"/>
    </w:r>
    <w:r w:rsidR="00F9636D">
      <w:tab/>
    </w:r>
    <w:r w:rsidR="00F9636D">
      <w:fldChar w:fldCharType="begin"/>
    </w:r>
    <w:r w:rsidR="00F9636D">
      <w:instrText xml:space="preserve"> CREATEDATE  \@ "dd.MM.yyyy"  \* MERGEFORMAT </w:instrText>
    </w:r>
    <w:r w:rsidR="00F9636D">
      <w:fldChar w:fldCharType="separate"/>
    </w:r>
    <w:r w:rsidR="006768C5">
      <w:rPr>
        <w:noProof/>
      </w:rPr>
      <w:t>26.03.2021</w:t>
    </w:r>
    <w:r w:rsidR="00F9636D">
      <w:fldChar w:fldCharType="end"/>
    </w:r>
  </w:p>
  <w:p w:rsidR="00F9636D" w:rsidRDefault="00F9636D" w:rsidP="00F9636D">
    <w:pPr>
      <w:pStyle w:val="Fuzeile"/>
      <w:pBdr>
        <w:top w:val="single" w:sz="4" w:space="1" w:color="auto"/>
      </w:pBdr>
    </w:pPr>
    <w:r>
      <w:t xml:space="preserve">Referat 31 </w:t>
    </w:r>
    <w:r w:rsidR="006903B7">
      <w:t>–</w:t>
    </w:r>
    <w:r>
      <w:t xml:space="preserve"> </w:t>
    </w:r>
    <w:r w:rsidR="006903B7">
      <w:t xml:space="preserve">Informationssysteme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033" w:rsidRDefault="00265033" w:rsidP="00F9636D">
      <w:pPr>
        <w:spacing w:after="0" w:line="240" w:lineRule="auto"/>
      </w:pPr>
      <w:r>
        <w:separator/>
      </w:r>
    </w:p>
  </w:footnote>
  <w:footnote w:type="continuationSeparator" w:id="0">
    <w:p w:rsidR="00265033" w:rsidRDefault="00265033" w:rsidP="00F96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C513E"/>
    <w:multiLevelType w:val="hybridMultilevel"/>
    <w:tmpl w:val="F7F62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061D3"/>
    <w:multiLevelType w:val="hybridMultilevel"/>
    <w:tmpl w:val="6076F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B7C0E"/>
    <w:multiLevelType w:val="hybridMultilevel"/>
    <w:tmpl w:val="0CAEB9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16799"/>
    <w:multiLevelType w:val="hybridMultilevel"/>
    <w:tmpl w:val="2E6678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337A3"/>
    <w:multiLevelType w:val="hybridMultilevel"/>
    <w:tmpl w:val="34249F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96662"/>
    <w:multiLevelType w:val="hybridMultilevel"/>
    <w:tmpl w:val="1F2C47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9E6879"/>
    <w:multiLevelType w:val="hybridMultilevel"/>
    <w:tmpl w:val="6340FA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772E4A"/>
    <w:multiLevelType w:val="hybridMultilevel"/>
    <w:tmpl w:val="349CB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03AEF"/>
    <w:multiLevelType w:val="hybridMultilevel"/>
    <w:tmpl w:val="2820A5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C5"/>
    <w:rsid w:val="00023AE3"/>
    <w:rsid w:val="000508F8"/>
    <w:rsid w:val="00050F1D"/>
    <w:rsid w:val="000A2BEE"/>
    <w:rsid w:val="000E10A2"/>
    <w:rsid w:val="000E42C0"/>
    <w:rsid w:val="000F2171"/>
    <w:rsid w:val="000F29DF"/>
    <w:rsid w:val="000F4069"/>
    <w:rsid w:val="001148F8"/>
    <w:rsid w:val="00162163"/>
    <w:rsid w:val="001645FB"/>
    <w:rsid w:val="00170E69"/>
    <w:rsid w:val="001A45AA"/>
    <w:rsid w:val="001A6B26"/>
    <w:rsid w:val="001D5654"/>
    <w:rsid w:val="001F1AD1"/>
    <w:rsid w:val="00242976"/>
    <w:rsid w:val="00247B4B"/>
    <w:rsid w:val="00251E98"/>
    <w:rsid w:val="00262605"/>
    <w:rsid w:val="00264795"/>
    <w:rsid w:val="00265033"/>
    <w:rsid w:val="00276A51"/>
    <w:rsid w:val="002B0725"/>
    <w:rsid w:val="002F66A2"/>
    <w:rsid w:val="00320C02"/>
    <w:rsid w:val="00323D78"/>
    <w:rsid w:val="00331C33"/>
    <w:rsid w:val="0033529E"/>
    <w:rsid w:val="0036456E"/>
    <w:rsid w:val="00390A63"/>
    <w:rsid w:val="003A1FC1"/>
    <w:rsid w:val="003B5845"/>
    <w:rsid w:val="003F774E"/>
    <w:rsid w:val="004066D5"/>
    <w:rsid w:val="00410287"/>
    <w:rsid w:val="00474555"/>
    <w:rsid w:val="004875C0"/>
    <w:rsid w:val="004E35F5"/>
    <w:rsid w:val="004F3BC2"/>
    <w:rsid w:val="00547FAB"/>
    <w:rsid w:val="00581EAC"/>
    <w:rsid w:val="005E13E1"/>
    <w:rsid w:val="00655635"/>
    <w:rsid w:val="00671A46"/>
    <w:rsid w:val="006768C5"/>
    <w:rsid w:val="006903B7"/>
    <w:rsid w:val="006A4041"/>
    <w:rsid w:val="006B3BDF"/>
    <w:rsid w:val="006B680D"/>
    <w:rsid w:val="006C6EE0"/>
    <w:rsid w:val="00714713"/>
    <w:rsid w:val="00734A3E"/>
    <w:rsid w:val="00743DDA"/>
    <w:rsid w:val="007507EB"/>
    <w:rsid w:val="007A5E40"/>
    <w:rsid w:val="007C53B6"/>
    <w:rsid w:val="00826832"/>
    <w:rsid w:val="00837F49"/>
    <w:rsid w:val="0084245D"/>
    <w:rsid w:val="00844E56"/>
    <w:rsid w:val="008648CC"/>
    <w:rsid w:val="008735EA"/>
    <w:rsid w:val="00881418"/>
    <w:rsid w:val="008D22EB"/>
    <w:rsid w:val="008F1598"/>
    <w:rsid w:val="00905324"/>
    <w:rsid w:val="00935D12"/>
    <w:rsid w:val="009522C8"/>
    <w:rsid w:val="009529E3"/>
    <w:rsid w:val="0095690C"/>
    <w:rsid w:val="0098362F"/>
    <w:rsid w:val="00A34EFB"/>
    <w:rsid w:val="00A476F9"/>
    <w:rsid w:val="00A7774F"/>
    <w:rsid w:val="00A84161"/>
    <w:rsid w:val="00AC3FB0"/>
    <w:rsid w:val="00AD219C"/>
    <w:rsid w:val="00B052BA"/>
    <w:rsid w:val="00B24BA5"/>
    <w:rsid w:val="00BB752E"/>
    <w:rsid w:val="00BC19D1"/>
    <w:rsid w:val="00BD4F3A"/>
    <w:rsid w:val="00C00696"/>
    <w:rsid w:val="00C21D7E"/>
    <w:rsid w:val="00C43F1D"/>
    <w:rsid w:val="00C440D5"/>
    <w:rsid w:val="00CA0BAB"/>
    <w:rsid w:val="00CC2099"/>
    <w:rsid w:val="00CC4DC4"/>
    <w:rsid w:val="00CE4AF3"/>
    <w:rsid w:val="00D43E63"/>
    <w:rsid w:val="00D519DB"/>
    <w:rsid w:val="00D52E54"/>
    <w:rsid w:val="00D6694F"/>
    <w:rsid w:val="00D717BA"/>
    <w:rsid w:val="00D85AB7"/>
    <w:rsid w:val="00D974AB"/>
    <w:rsid w:val="00DB42DE"/>
    <w:rsid w:val="00DE1C50"/>
    <w:rsid w:val="00DE1F1C"/>
    <w:rsid w:val="00E03BC0"/>
    <w:rsid w:val="00E0598B"/>
    <w:rsid w:val="00E1761C"/>
    <w:rsid w:val="00E603C1"/>
    <w:rsid w:val="00E71965"/>
    <w:rsid w:val="00EA2DF1"/>
    <w:rsid w:val="00EF531A"/>
    <w:rsid w:val="00EF53B6"/>
    <w:rsid w:val="00F520E3"/>
    <w:rsid w:val="00F80DF2"/>
    <w:rsid w:val="00F80FE0"/>
    <w:rsid w:val="00F90FFB"/>
    <w:rsid w:val="00F942FA"/>
    <w:rsid w:val="00F9636D"/>
    <w:rsid w:val="00FC3C89"/>
    <w:rsid w:val="00FD54C0"/>
    <w:rsid w:val="00FF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BF2D9"/>
  <w15:docId w15:val="{BFBFFFBB-0D52-4C3A-AD77-0696070C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8141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81418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i/>
      <w:color w:val="365F91" w:themeColor="accent1" w:themeShade="BF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81418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81418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F53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F53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81418"/>
    <w:rPr>
      <w:rFonts w:ascii="Arial" w:eastAsiaTheme="majorEastAsia" w:hAnsi="Arial" w:cstheme="majorBidi"/>
      <w:b/>
      <w:bCs/>
      <w:color w:val="365F91" w:themeColor="accent1" w:themeShade="BF"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1418"/>
    <w:rPr>
      <w:rFonts w:ascii="Arial" w:eastAsiaTheme="majorEastAsia" w:hAnsi="Arial" w:cstheme="majorBidi"/>
      <w:b/>
      <w:bCs/>
      <w:i/>
      <w:color w:val="365F91" w:themeColor="accent1" w:themeShade="BF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1418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1418"/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F96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636D"/>
  </w:style>
  <w:style w:type="paragraph" w:styleId="Fuzeile">
    <w:name w:val="footer"/>
    <w:basedOn w:val="Standard"/>
    <w:link w:val="FuzeileZchn"/>
    <w:uiPriority w:val="99"/>
    <w:unhideWhenUsed/>
    <w:rsid w:val="00F9636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F9636D"/>
    <w:rPr>
      <w:rFonts w:ascii="Arial" w:hAnsi="Arial"/>
      <w:sz w:val="18"/>
    </w:rPr>
  </w:style>
  <w:style w:type="paragraph" w:styleId="Listenabsatz">
    <w:name w:val="List Paragraph"/>
    <w:basedOn w:val="Standard"/>
    <w:uiPriority w:val="34"/>
    <w:qFormat/>
    <w:rsid w:val="00BD4F3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5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563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76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nnert\Documents\Benutzerdefinierte%20Office-Vorlagen\Berich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Bericht.dotx</Template>
  <TotalTime>0</TotalTime>
  <Pages>3</Pages>
  <Words>775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Birgit Bannert</dc:creator>
  <cp:lastModifiedBy>Birgit Bannert</cp:lastModifiedBy>
  <cp:revision>2</cp:revision>
  <dcterms:created xsi:type="dcterms:W3CDTF">2021-03-26T14:40:00Z</dcterms:created>
  <dcterms:modified xsi:type="dcterms:W3CDTF">2021-03-26T15:15:00Z</dcterms:modified>
</cp:coreProperties>
</file>